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FBC" w:rsidRDefault="00242FBC" w:rsidP="00242FBC">
      <w:pPr>
        <w:rPr>
          <w:rStyle w:val="Italic"/>
          <w:i w:val="0"/>
          <w:iCs w:val="0"/>
        </w:rPr>
      </w:pPr>
      <w:r>
        <w:rPr>
          <w:rStyle w:val="Italic"/>
          <w:i w:val="0"/>
          <w:iCs w:val="0"/>
        </w:rPr>
        <w:t xml:space="preserve">Известно, что комбинация ингибитора </w:t>
      </w:r>
      <w:proofErr w:type="spellStart"/>
      <w:r>
        <w:rPr>
          <w:rStyle w:val="Italic"/>
          <w:i w:val="0"/>
          <w:iCs w:val="0"/>
        </w:rPr>
        <w:t>неприлизина</w:t>
      </w:r>
      <w:proofErr w:type="spellEnd"/>
      <w:r>
        <w:rPr>
          <w:rStyle w:val="Italic"/>
          <w:i w:val="0"/>
          <w:iCs w:val="0"/>
        </w:rPr>
        <w:t xml:space="preserve"> и блокатора рецептора ангиотензина (</w:t>
      </w:r>
      <w:proofErr w:type="spellStart"/>
      <w:r>
        <w:rPr>
          <w:rStyle w:val="Italic"/>
          <w:i w:val="0"/>
          <w:iCs w:val="0"/>
        </w:rPr>
        <w:t>сакубитрил</w:t>
      </w:r>
      <w:proofErr w:type="spellEnd"/>
      <w:r>
        <w:rPr>
          <w:rStyle w:val="Italic"/>
          <w:i w:val="0"/>
          <w:iCs w:val="0"/>
        </w:rPr>
        <w:t>/</w:t>
      </w:r>
      <w:proofErr w:type="spellStart"/>
      <w:r>
        <w:rPr>
          <w:rStyle w:val="Italic"/>
          <w:i w:val="0"/>
          <w:iCs w:val="0"/>
        </w:rPr>
        <w:t>валсартан</w:t>
      </w:r>
      <w:proofErr w:type="spellEnd"/>
      <w:r>
        <w:rPr>
          <w:rStyle w:val="Italic"/>
          <w:i w:val="0"/>
          <w:iCs w:val="0"/>
        </w:rPr>
        <w:t>) по сравнению с ингибиторами ангиотензин-превращающего фермента (</w:t>
      </w:r>
      <w:proofErr w:type="spellStart"/>
      <w:r>
        <w:rPr>
          <w:rStyle w:val="Italic"/>
          <w:i w:val="0"/>
          <w:iCs w:val="0"/>
        </w:rPr>
        <w:t>иАПФ</w:t>
      </w:r>
      <w:proofErr w:type="spellEnd"/>
      <w:r>
        <w:rPr>
          <w:rStyle w:val="Italic"/>
          <w:i w:val="0"/>
          <w:iCs w:val="0"/>
        </w:rPr>
        <w:t>) или блокаторами рецепторов ангиотензина (БРА) более эффективно снижает сердечно-сосудистую смертность у пациентов с сердечной недостаточностью (СН) и сниженной фракцией выброса (</w:t>
      </w:r>
      <w:proofErr w:type="spellStart"/>
      <w:r>
        <w:rPr>
          <w:rStyle w:val="Italic"/>
          <w:i w:val="0"/>
          <w:iCs w:val="0"/>
        </w:rPr>
        <w:t>СНснФВ</w:t>
      </w:r>
      <w:proofErr w:type="spellEnd"/>
      <w:r>
        <w:rPr>
          <w:rStyle w:val="Italic"/>
          <w:i w:val="0"/>
          <w:iCs w:val="0"/>
        </w:rPr>
        <w:t xml:space="preserve">). В то же время, влияние </w:t>
      </w:r>
      <w:proofErr w:type="spellStart"/>
      <w:r>
        <w:rPr>
          <w:rStyle w:val="Italic"/>
          <w:i w:val="0"/>
          <w:iCs w:val="0"/>
        </w:rPr>
        <w:t>сакубитрила</w:t>
      </w:r>
      <w:proofErr w:type="spellEnd"/>
      <w:r>
        <w:rPr>
          <w:rStyle w:val="Italic"/>
          <w:i w:val="0"/>
          <w:iCs w:val="0"/>
        </w:rPr>
        <w:t>/</w:t>
      </w:r>
      <w:proofErr w:type="spellStart"/>
      <w:r>
        <w:rPr>
          <w:rStyle w:val="Italic"/>
          <w:i w:val="0"/>
          <w:iCs w:val="0"/>
        </w:rPr>
        <w:t>валсартана</w:t>
      </w:r>
      <w:proofErr w:type="spellEnd"/>
      <w:r>
        <w:rPr>
          <w:rStyle w:val="Italic"/>
          <w:i w:val="0"/>
          <w:iCs w:val="0"/>
        </w:rPr>
        <w:t xml:space="preserve"> на физическую нагрузку менее изучено.</w:t>
      </w:r>
    </w:p>
    <w:p w:rsidR="00242FBC" w:rsidRDefault="00242FBC" w:rsidP="00242FBC">
      <w:pPr>
        <w:rPr>
          <w:rStyle w:val="Italic"/>
          <w:i w:val="0"/>
          <w:iCs w:val="0"/>
        </w:rPr>
      </w:pPr>
      <w:r w:rsidRPr="00242FBC">
        <w:rPr>
          <w:rStyle w:val="Bold"/>
        </w:rPr>
        <w:t>Материалы и методы.</w:t>
      </w:r>
      <w:r>
        <w:rPr>
          <w:rStyle w:val="Bold"/>
          <w:i/>
          <w:iCs/>
        </w:rPr>
        <w:t xml:space="preserve"> </w:t>
      </w:r>
      <w:r>
        <w:rPr>
          <w:rStyle w:val="Italic"/>
          <w:i w:val="0"/>
          <w:iCs w:val="0"/>
        </w:rPr>
        <w:t xml:space="preserve">В данное обсервационное рандомизированное исследование было включено 100 пациентов со </w:t>
      </w:r>
      <w:proofErr w:type="spellStart"/>
      <w:r>
        <w:rPr>
          <w:rStyle w:val="Italic"/>
          <w:i w:val="0"/>
          <w:iCs w:val="0"/>
        </w:rPr>
        <w:t>СНснФВ</w:t>
      </w:r>
      <w:proofErr w:type="spellEnd"/>
      <w:r>
        <w:rPr>
          <w:rStyle w:val="Italic"/>
          <w:i w:val="0"/>
          <w:iCs w:val="0"/>
        </w:rPr>
        <w:t xml:space="preserve">. Всем пациентам был проведён тест на сердечно-легочную нагрузку (СРЕТ) в начале и через 6 месяцев после непрерывной терапии </w:t>
      </w:r>
      <w:proofErr w:type="spellStart"/>
      <w:r>
        <w:rPr>
          <w:rStyle w:val="Italic"/>
          <w:i w:val="0"/>
          <w:iCs w:val="0"/>
        </w:rPr>
        <w:t>сакубитрилом</w:t>
      </w:r>
      <w:proofErr w:type="spellEnd"/>
      <w:r>
        <w:rPr>
          <w:rStyle w:val="Italic"/>
          <w:i w:val="0"/>
          <w:iCs w:val="0"/>
        </w:rPr>
        <w:t>/</w:t>
      </w:r>
      <w:proofErr w:type="spellStart"/>
      <w:r>
        <w:rPr>
          <w:rStyle w:val="Italic"/>
          <w:i w:val="0"/>
          <w:iCs w:val="0"/>
        </w:rPr>
        <w:t>валсартаном</w:t>
      </w:r>
      <w:proofErr w:type="spellEnd"/>
      <w:r>
        <w:rPr>
          <w:rStyle w:val="Italic"/>
          <w:i w:val="0"/>
          <w:iCs w:val="0"/>
        </w:rPr>
        <w:t xml:space="preserve"> и оптимальной терапии при СН. Переход с </w:t>
      </w:r>
      <w:proofErr w:type="spellStart"/>
      <w:r>
        <w:rPr>
          <w:rStyle w:val="Italic"/>
          <w:i w:val="0"/>
          <w:iCs w:val="0"/>
        </w:rPr>
        <w:t>иАПФ</w:t>
      </w:r>
      <w:proofErr w:type="spellEnd"/>
      <w:r>
        <w:rPr>
          <w:rStyle w:val="Italic"/>
          <w:i w:val="0"/>
          <w:iCs w:val="0"/>
        </w:rPr>
        <w:t xml:space="preserve">/БРА на комбинацию ингибитора </w:t>
      </w:r>
      <w:proofErr w:type="spellStart"/>
      <w:r>
        <w:rPr>
          <w:rStyle w:val="Italic"/>
          <w:i w:val="0"/>
          <w:iCs w:val="0"/>
        </w:rPr>
        <w:t>неприлизина</w:t>
      </w:r>
      <w:proofErr w:type="spellEnd"/>
      <w:r>
        <w:rPr>
          <w:rStyle w:val="Italic"/>
          <w:i w:val="0"/>
          <w:iCs w:val="0"/>
        </w:rPr>
        <w:t xml:space="preserve"> и блокатора рецептора ангиотензина осуществлялся перед началом исследования согласно рекомендациям.</w:t>
      </w:r>
      <w:bookmarkStart w:id="0" w:name="_GoBack"/>
      <w:bookmarkEnd w:id="0"/>
    </w:p>
    <w:p w:rsidR="00242FBC" w:rsidRDefault="00242FBC" w:rsidP="00242FBC">
      <w:pPr>
        <w:rPr>
          <w:rStyle w:val="Italic"/>
          <w:i w:val="0"/>
          <w:iCs w:val="0"/>
        </w:rPr>
      </w:pPr>
      <w:r w:rsidRPr="00242FBC">
        <w:rPr>
          <w:rStyle w:val="Bold"/>
        </w:rPr>
        <w:t>Результаты.</w:t>
      </w:r>
      <w:r>
        <w:rPr>
          <w:rStyle w:val="Bold"/>
          <w:i/>
          <w:iCs/>
        </w:rPr>
        <w:t xml:space="preserve"> </w:t>
      </w:r>
      <w:r>
        <w:rPr>
          <w:rStyle w:val="Italic"/>
          <w:i w:val="0"/>
          <w:iCs w:val="0"/>
        </w:rPr>
        <w:t xml:space="preserve">После 6-ти месяцев после приема </w:t>
      </w:r>
      <w:proofErr w:type="spellStart"/>
      <w:r>
        <w:rPr>
          <w:rStyle w:val="Italic"/>
          <w:i w:val="0"/>
          <w:iCs w:val="0"/>
        </w:rPr>
        <w:t>сакубитрила</w:t>
      </w:r>
      <w:proofErr w:type="spellEnd"/>
      <w:r>
        <w:rPr>
          <w:rStyle w:val="Italic"/>
          <w:i w:val="0"/>
          <w:iCs w:val="0"/>
        </w:rPr>
        <w:t>/</w:t>
      </w:r>
      <w:proofErr w:type="spellStart"/>
      <w:r>
        <w:rPr>
          <w:rStyle w:val="Italic"/>
          <w:i w:val="0"/>
          <w:iCs w:val="0"/>
        </w:rPr>
        <w:t>валсартана</w:t>
      </w:r>
      <w:proofErr w:type="spellEnd"/>
      <w:r>
        <w:rPr>
          <w:rStyle w:val="Italic"/>
          <w:i w:val="0"/>
          <w:iCs w:val="0"/>
        </w:rPr>
        <w:t xml:space="preserve"> фракция выброса левого желудочка (ФВЛЖ) возросла с 26</w:t>
      </w:r>
      <w:r>
        <w:rPr>
          <w:rStyle w:val="Italic"/>
          <w:rFonts w:ascii="Arial" w:hAnsi="Arial" w:cs="Arial"/>
          <w:i w:val="0"/>
          <w:iCs w:val="0"/>
        </w:rPr>
        <w:t>  </w:t>
      </w:r>
      <w:r>
        <w:rPr>
          <w:rStyle w:val="Italic"/>
          <w:i w:val="0"/>
          <w:iCs w:val="0"/>
        </w:rPr>
        <w:t>±</w:t>
      </w:r>
      <w:r>
        <w:rPr>
          <w:rStyle w:val="Italic"/>
          <w:rFonts w:ascii="Arial" w:hAnsi="Arial" w:cs="Arial"/>
          <w:i w:val="0"/>
          <w:iCs w:val="0"/>
        </w:rPr>
        <w:t>  </w:t>
      </w:r>
      <w:r>
        <w:rPr>
          <w:rStyle w:val="Italic"/>
          <w:i w:val="0"/>
          <w:iCs w:val="0"/>
        </w:rPr>
        <w:t>5 от 29,6</w:t>
      </w:r>
      <w:r>
        <w:rPr>
          <w:rStyle w:val="Italic"/>
          <w:rFonts w:ascii="Arial" w:hAnsi="Arial" w:cs="Arial"/>
          <w:i w:val="0"/>
          <w:iCs w:val="0"/>
        </w:rPr>
        <w:t>  </w:t>
      </w:r>
      <w:r>
        <w:rPr>
          <w:rStyle w:val="Italic"/>
          <w:i w:val="0"/>
          <w:iCs w:val="0"/>
        </w:rPr>
        <w:t>±</w:t>
      </w:r>
      <w:r>
        <w:rPr>
          <w:rStyle w:val="Italic"/>
          <w:rFonts w:ascii="Arial" w:hAnsi="Arial" w:cs="Arial"/>
          <w:i w:val="0"/>
          <w:iCs w:val="0"/>
        </w:rPr>
        <w:t>  </w:t>
      </w:r>
      <w:r>
        <w:rPr>
          <w:rStyle w:val="Italic"/>
          <w:i w:val="0"/>
          <w:iCs w:val="0"/>
        </w:rPr>
        <w:t>8</w:t>
      </w:r>
      <w:r>
        <w:rPr>
          <w:rStyle w:val="Italic"/>
          <w:rFonts w:ascii="Arial" w:hAnsi="Arial" w:cs="Arial"/>
          <w:i w:val="0"/>
          <w:iCs w:val="0"/>
        </w:rPr>
        <w:t> </w:t>
      </w:r>
      <w:r>
        <w:rPr>
          <w:rStyle w:val="Italic"/>
          <w:i w:val="0"/>
          <w:iCs w:val="0"/>
        </w:rPr>
        <w:t>%, пиковое потребление кислорода (VO</w:t>
      </w:r>
      <w:r>
        <w:rPr>
          <w:rStyle w:val="ItalicSub"/>
          <w:i w:val="0"/>
          <w:iCs w:val="0"/>
        </w:rPr>
        <w:t>2</w:t>
      </w:r>
      <w:r>
        <w:rPr>
          <w:rStyle w:val="ItalicSub"/>
          <w:rFonts w:ascii="Arial" w:hAnsi="Arial" w:cs="Arial"/>
          <w:i w:val="0"/>
          <w:iCs w:val="0"/>
        </w:rPr>
        <w:t> </w:t>
      </w:r>
      <w:r>
        <w:rPr>
          <w:rStyle w:val="Italic"/>
          <w:i w:val="0"/>
          <w:iCs w:val="0"/>
        </w:rPr>
        <w:t>) возросло с 14,6</w:t>
      </w:r>
      <w:r>
        <w:rPr>
          <w:rStyle w:val="Italic"/>
          <w:rFonts w:ascii="Arial" w:hAnsi="Arial" w:cs="Arial"/>
          <w:i w:val="0"/>
          <w:iCs w:val="0"/>
        </w:rPr>
        <w:t>  </w:t>
      </w:r>
      <w:r>
        <w:rPr>
          <w:rStyle w:val="Italic"/>
          <w:i w:val="0"/>
          <w:iCs w:val="0"/>
        </w:rPr>
        <w:t>±</w:t>
      </w:r>
      <w:r>
        <w:rPr>
          <w:rStyle w:val="Italic"/>
          <w:rFonts w:ascii="Arial" w:hAnsi="Arial" w:cs="Arial"/>
          <w:i w:val="0"/>
          <w:iCs w:val="0"/>
        </w:rPr>
        <w:t>  </w:t>
      </w:r>
      <w:r>
        <w:rPr>
          <w:rStyle w:val="Italic"/>
          <w:i w:val="0"/>
          <w:iCs w:val="0"/>
        </w:rPr>
        <w:t>4 до 17,3</w:t>
      </w:r>
      <w:r>
        <w:rPr>
          <w:rStyle w:val="Italic"/>
          <w:rFonts w:ascii="Arial" w:hAnsi="Arial" w:cs="Arial"/>
          <w:i w:val="0"/>
          <w:iCs w:val="0"/>
        </w:rPr>
        <w:t>  </w:t>
      </w:r>
      <w:r>
        <w:rPr>
          <w:rStyle w:val="Italic"/>
          <w:i w:val="0"/>
          <w:iCs w:val="0"/>
        </w:rPr>
        <w:t>±</w:t>
      </w:r>
      <w:r>
        <w:rPr>
          <w:rStyle w:val="Italic"/>
          <w:rFonts w:ascii="Arial" w:hAnsi="Arial" w:cs="Arial"/>
          <w:i w:val="0"/>
          <w:iCs w:val="0"/>
        </w:rPr>
        <w:t>  </w:t>
      </w:r>
      <w:r>
        <w:rPr>
          <w:rStyle w:val="Italic"/>
          <w:i w:val="0"/>
          <w:iCs w:val="0"/>
        </w:rPr>
        <w:t>5,2 мл/кг/мин, кислородный пульс возрос с 11,6</w:t>
      </w:r>
      <w:r>
        <w:rPr>
          <w:rStyle w:val="Italic"/>
          <w:rFonts w:ascii="Arial" w:hAnsi="Arial" w:cs="Arial"/>
          <w:i w:val="0"/>
          <w:iCs w:val="0"/>
        </w:rPr>
        <w:t>  </w:t>
      </w:r>
      <w:r>
        <w:rPr>
          <w:rStyle w:val="Italic"/>
          <w:i w:val="0"/>
          <w:iCs w:val="0"/>
        </w:rPr>
        <w:t>±</w:t>
      </w:r>
      <w:r>
        <w:rPr>
          <w:rStyle w:val="Italic"/>
          <w:rFonts w:ascii="Arial" w:hAnsi="Arial" w:cs="Arial"/>
          <w:i w:val="0"/>
          <w:iCs w:val="0"/>
        </w:rPr>
        <w:t>  </w:t>
      </w:r>
      <w:r>
        <w:rPr>
          <w:rStyle w:val="Italic"/>
          <w:i w:val="0"/>
          <w:iCs w:val="0"/>
        </w:rPr>
        <w:t>4 до 13,6</w:t>
      </w:r>
      <w:r>
        <w:rPr>
          <w:rStyle w:val="Italic"/>
          <w:rFonts w:ascii="Arial" w:hAnsi="Arial" w:cs="Arial"/>
          <w:i w:val="0"/>
          <w:iCs w:val="0"/>
        </w:rPr>
        <w:t>  </w:t>
      </w:r>
      <w:r>
        <w:rPr>
          <w:rStyle w:val="Italic"/>
          <w:i w:val="0"/>
          <w:iCs w:val="0"/>
        </w:rPr>
        <w:t>±</w:t>
      </w:r>
      <w:r>
        <w:rPr>
          <w:rStyle w:val="Italic"/>
          <w:rFonts w:ascii="Arial" w:hAnsi="Arial" w:cs="Arial"/>
          <w:i w:val="0"/>
          <w:iCs w:val="0"/>
        </w:rPr>
        <w:t>  </w:t>
      </w:r>
      <w:r>
        <w:rPr>
          <w:rStyle w:val="Italic"/>
          <w:i w:val="0"/>
          <w:iCs w:val="0"/>
        </w:rPr>
        <w:t>5 мл/кг/мин и отношение ∆VO</w:t>
      </w:r>
      <w:r>
        <w:rPr>
          <w:rStyle w:val="ItalicSub"/>
          <w:i w:val="0"/>
          <w:iCs w:val="0"/>
        </w:rPr>
        <w:t>2</w:t>
      </w:r>
      <w:r>
        <w:rPr>
          <w:rStyle w:val="ItalicSub"/>
          <w:rFonts w:ascii="Arial" w:hAnsi="Arial" w:cs="Arial"/>
          <w:i w:val="0"/>
          <w:iCs w:val="0"/>
        </w:rPr>
        <w:t>  </w:t>
      </w:r>
      <w:r>
        <w:rPr>
          <w:rStyle w:val="Italic"/>
          <w:i w:val="0"/>
          <w:iCs w:val="0"/>
        </w:rPr>
        <w:t>/∆работа возросло с 9,1</w:t>
      </w:r>
      <w:r>
        <w:rPr>
          <w:rStyle w:val="Italic"/>
          <w:rFonts w:ascii="Arial" w:hAnsi="Arial" w:cs="Arial"/>
          <w:i w:val="0"/>
          <w:iCs w:val="0"/>
        </w:rPr>
        <w:t>  </w:t>
      </w:r>
      <w:r>
        <w:rPr>
          <w:rStyle w:val="Italic"/>
          <w:i w:val="0"/>
          <w:iCs w:val="0"/>
        </w:rPr>
        <w:t>±</w:t>
      </w:r>
      <w:r>
        <w:rPr>
          <w:rStyle w:val="Italic"/>
          <w:rFonts w:ascii="Arial" w:hAnsi="Arial" w:cs="Arial"/>
          <w:i w:val="0"/>
          <w:iCs w:val="0"/>
        </w:rPr>
        <w:t>  </w:t>
      </w:r>
      <w:r>
        <w:rPr>
          <w:rStyle w:val="Italic"/>
          <w:i w:val="0"/>
          <w:iCs w:val="0"/>
        </w:rPr>
        <w:t>2.5 до 10,2</w:t>
      </w:r>
      <w:r>
        <w:rPr>
          <w:rStyle w:val="Italic"/>
          <w:rFonts w:ascii="Arial" w:hAnsi="Arial" w:cs="Arial"/>
          <w:i w:val="0"/>
          <w:iCs w:val="0"/>
        </w:rPr>
        <w:t>  </w:t>
      </w:r>
      <w:r>
        <w:rPr>
          <w:rStyle w:val="Italic"/>
          <w:i w:val="0"/>
          <w:iCs w:val="0"/>
        </w:rPr>
        <w:t>±</w:t>
      </w:r>
      <w:r>
        <w:rPr>
          <w:rStyle w:val="Italic"/>
          <w:rFonts w:ascii="Arial" w:hAnsi="Arial" w:cs="Arial"/>
          <w:i w:val="0"/>
          <w:iCs w:val="0"/>
        </w:rPr>
        <w:t>  </w:t>
      </w:r>
      <w:r>
        <w:rPr>
          <w:rStyle w:val="Italic"/>
          <w:i w:val="0"/>
          <w:iCs w:val="0"/>
        </w:rPr>
        <w:t>1,6 мл/мин/</w:t>
      </w:r>
      <w:proofErr w:type="spellStart"/>
      <w:r>
        <w:rPr>
          <w:rStyle w:val="Italic"/>
          <w:i w:val="0"/>
          <w:iCs w:val="0"/>
        </w:rPr>
        <w:t>вт</w:t>
      </w:r>
      <w:proofErr w:type="spellEnd"/>
      <w:r>
        <w:rPr>
          <w:rStyle w:val="Italic"/>
          <w:i w:val="0"/>
          <w:iCs w:val="0"/>
        </w:rPr>
        <w:t xml:space="preserve"> (p</w:t>
      </w:r>
      <w:r>
        <w:rPr>
          <w:rStyle w:val="Italic"/>
          <w:rFonts w:ascii="Arial" w:hAnsi="Arial" w:cs="Arial"/>
          <w:i w:val="0"/>
          <w:iCs w:val="0"/>
        </w:rPr>
        <w:t>  </w:t>
      </w:r>
      <w:r>
        <w:rPr>
          <w:rStyle w:val="Italic"/>
          <w:i w:val="0"/>
          <w:iCs w:val="0"/>
        </w:rPr>
        <w:t>=</w:t>
      </w:r>
      <w:r>
        <w:rPr>
          <w:rStyle w:val="Italic"/>
          <w:rFonts w:ascii="Arial" w:hAnsi="Arial" w:cs="Arial"/>
          <w:i w:val="0"/>
          <w:iCs w:val="0"/>
        </w:rPr>
        <w:t>  </w:t>
      </w:r>
      <w:r>
        <w:rPr>
          <w:rStyle w:val="Italic"/>
          <w:i w:val="0"/>
          <w:iCs w:val="0"/>
        </w:rPr>
        <w:t>0,0001 для всех).</w:t>
      </w:r>
    </w:p>
    <w:p w:rsidR="00242FBC" w:rsidRDefault="00242FBC" w:rsidP="00242FBC">
      <w:pPr>
        <w:rPr>
          <w:rStyle w:val="Italic"/>
          <w:i w:val="0"/>
          <w:iCs w:val="0"/>
        </w:rPr>
      </w:pPr>
      <w:r w:rsidRPr="00242FBC">
        <w:rPr>
          <w:rStyle w:val="Bold"/>
        </w:rPr>
        <w:t>Заключение.</w:t>
      </w:r>
      <w:r>
        <w:rPr>
          <w:rStyle w:val="Bold"/>
          <w:i/>
          <w:iCs/>
        </w:rPr>
        <w:t xml:space="preserve"> </w:t>
      </w:r>
      <w:r>
        <w:rPr>
          <w:rStyle w:val="Italic"/>
          <w:i w:val="0"/>
          <w:iCs w:val="0"/>
        </w:rPr>
        <w:t xml:space="preserve">Терапия </w:t>
      </w:r>
      <w:proofErr w:type="spellStart"/>
      <w:r>
        <w:rPr>
          <w:rStyle w:val="Italic"/>
          <w:i w:val="0"/>
          <w:iCs w:val="0"/>
        </w:rPr>
        <w:t>сакубитрилом</w:t>
      </w:r>
      <w:proofErr w:type="spellEnd"/>
      <w:r>
        <w:rPr>
          <w:rStyle w:val="Italic"/>
          <w:i w:val="0"/>
          <w:iCs w:val="0"/>
        </w:rPr>
        <w:t>/</w:t>
      </w:r>
      <w:proofErr w:type="spellStart"/>
      <w:r>
        <w:rPr>
          <w:rStyle w:val="Italic"/>
          <w:i w:val="0"/>
          <w:iCs w:val="0"/>
        </w:rPr>
        <w:t>валсартаном</w:t>
      </w:r>
      <w:proofErr w:type="spellEnd"/>
      <w:r>
        <w:rPr>
          <w:rStyle w:val="Italic"/>
          <w:i w:val="0"/>
          <w:iCs w:val="0"/>
        </w:rPr>
        <w:t xml:space="preserve"> улучшила толерантность к физической нагрузке, а также показатели потребления кислорода и ФВЛЖ в течение 6-месячного наблюдения.</w:t>
      </w:r>
    </w:p>
    <w:p w:rsidR="00242FBC" w:rsidRDefault="00242FBC" w:rsidP="00242FBC">
      <w:r w:rsidRPr="00242FBC">
        <w:rPr>
          <w:rStyle w:val="Bold"/>
        </w:rPr>
        <w:t>Ключевые слова:</w:t>
      </w:r>
      <w:r>
        <w:rPr>
          <w:rStyle w:val="Italic"/>
          <w:i w:val="0"/>
          <w:iCs w:val="0"/>
        </w:rPr>
        <w:t xml:space="preserve"> сердечная недостаточность, </w:t>
      </w:r>
      <w:proofErr w:type="spellStart"/>
      <w:r>
        <w:rPr>
          <w:rStyle w:val="Italic"/>
          <w:i w:val="0"/>
          <w:iCs w:val="0"/>
        </w:rPr>
        <w:t>сакубитрил</w:t>
      </w:r>
      <w:proofErr w:type="spellEnd"/>
      <w:r>
        <w:rPr>
          <w:rStyle w:val="Italic"/>
          <w:i w:val="0"/>
          <w:iCs w:val="0"/>
        </w:rPr>
        <w:t>/</w:t>
      </w:r>
      <w:proofErr w:type="spellStart"/>
      <w:r>
        <w:rPr>
          <w:rStyle w:val="Italic"/>
          <w:i w:val="0"/>
          <w:iCs w:val="0"/>
        </w:rPr>
        <w:t>валсартан</w:t>
      </w:r>
      <w:proofErr w:type="spellEnd"/>
      <w:r>
        <w:rPr>
          <w:rStyle w:val="Italic"/>
          <w:i w:val="0"/>
          <w:iCs w:val="0"/>
        </w:rPr>
        <w:t xml:space="preserve">, </w:t>
      </w:r>
      <w:r>
        <w:rPr>
          <w:rStyle w:val="Italic"/>
          <w:i w:val="0"/>
          <w:iCs w:val="0"/>
          <w:rtl/>
          <w:lang w:bidi="ar-YE"/>
        </w:rPr>
        <w:t>тест</w:t>
      </w:r>
      <w:r>
        <w:rPr>
          <w:rStyle w:val="Italic"/>
          <w:rFonts w:cs="Times New Roman"/>
          <w:i w:val="0"/>
          <w:iCs w:val="0"/>
          <w:rtl/>
          <w:lang w:bidi="ar-YE"/>
        </w:rPr>
        <w:t xml:space="preserve"> </w:t>
      </w:r>
      <w:r>
        <w:rPr>
          <w:rStyle w:val="Italic"/>
          <w:i w:val="0"/>
          <w:iCs w:val="0"/>
          <w:rtl/>
          <w:lang w:bidi="ar-YE"/>
        </w:rPr>
        <w:t>на</w:t>
      </w:r>
      <w:r>
        <w:rPr>
          <w:rStyle w:val="Italic"/>
          <w:rFonts w:cs="Times New Roman"/>
          <w:i w:val="0"/>
          <w:iCs w:val="0"/>
          <w:rtl/>
          <w:lang w:bidi="ar-YE"/>
        </w:rPr>
        <w:t xml:space="preserve"> </w:t>
      </w:r>
      <w:r>
        <w:rPr>
          <w:rStyle w:val="Italic"/>
          <w:i w:val="0"/>
          <w:iCs w:val="0"/>
          <w:rtl/>
          <w:lang w:bidi="ar-YE"/>
        </w:rPr>
        <w:t>сердечно</w:t>
      </w:r>
      <w:r>
        <w:rPr>
          <w:rStyle w:val="Italic"/>
          <w:rFonts w:cs="Times New Roman"/>
          <w:i w:val="0"/>
          <w:iCs w:val="0"/>
          <w:rtl/>
          <w:lang w:bidi="ar-YE"/>
        </w:rPr>
        <w:t>-</w:t>
      </w:r>
      <w:r>
        <w:rPr>
          <w:rStyle w:val="Italic"/>
          <w:i w:val="0"/>
          <w:iCs w:val="0"/>
          <w:rtl/>
          <w:lang w:bidi="ar-YE"/>
        </w:rPr>
        <w:t>легочную</w:t>
      </w:r>
      <w:r>
        <w:rPr>
          <w:rStyle w:val="Italic"/>
          <w:rFonts w:cs="Times New Roman"/>
          <w:i w:val="0"/>
          <w:iCs w:val="0"/>
          <w:rtl/>
          <w:lang w:bidi="ar-YE"/>
        </w:rPr>
        <w:t xml:space="preserve"> </w:t>
      </w:r>
      <w:r>
        <w:rPr>
          <w:rStyle w:val="Italic"/>
          <w:i w:val="0"/>
          <w:iCs w:val="0"/>
          <w:rtl/>
          <w:lang w:bidi="ar-YE"/>
        </w:rPr>
        <w:t>нагрузку</w:t>
      </w:r>
      <w:r>
        <w:rPr>
          <w:rStyle w:val="Italic"/>
          <w:i w:val="0"/>
          <w:iCs w:val="0"/>
        </w:rPr>
        <w:t>.</w:t>
      </w:r>
    </w:p>
    <w:p w:rsidR="00242FBC" w:rsidRDefault="00242FBC" w:rsidP="00242FBC">
      <w:pPr>
        <w:rPr>
          <w:rStyle w:val="Bold"/>
        </w:rPr>
      </w:pPr>
    </w:p>
    <w:p w:rsidR="0028291C" w:rsidRDefault="0028291C" w:rsidP="00242FBC"/>
    <w:sectPr w:rsidR="0028291C" w:rsidSect="004164C2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DINPro">
    <w:panose1 w:val="020B0504020101020102"/>
    <w:charset w:val="00"/>
    <w:family w:val="swiss"/>
    <w:notTrueType/>
    <w:pitch w:val="variable"/>
    <w:sig w:usb0="A00002B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FBC"/>
    <w:rsid w:val="00242FBC"/>
    <w:rsid w:val="0028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60D8296-2D1B-47D4-881B-E5873CE47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Text">
    <w:name w:val="LeadText (СТАРТ)"/>
    <w:basedOn w:val="a"/>
    <w:next w:val="a"/>
    <w:uiPriority w:val="99"/>
    <w:rsid w:val="00242FBC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  <w:style w:type="paragraph" w:customStyle="1" w:styleId="basicTextnofirstindent">
    <w:name w:val="basicText no first indent (СТАТЬЯ)"/>
    <w:basedOn w:val="a"/>
    <w:uiPriority w:val="99"/>
    <w:rsid w:val="00242FBC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DINPro" w:hAnsi="DINPro" w:cs="DINPro"/>
      <w:color w:val="000000"/>
      <w:sz w:val="20"/>
      <w:szCs w:val="20"/>
    </w:rPr>
  </w:style>
  <w:style w:type="character" w:customStyle="1" w:styleId="Italic">
    <w:name w:val="Italic"/>
    <w:uiPriority w:val="99"/>
    <w:rsid w:val="00242FBC"/>
    <w:rPr>
      <w:i/>
      <w:iCs/>
      <w:u w:val="none"/>
      <w:vertAlign w:val="baseline"/>
    </w:rPr>
  </w:style>
  <w:style w:type="character" w:customStyle="1" w:styleId="Bold">
    <w:name w:val="Bold"/>
    <w:uiPriority w:val="99"/>
    <w:rsid w:val="00242FBC"/>
    <w:rPr>
      <w:b/>
      <w:bCs/>
      <w:u w:val="none"/>
      <w:vertAlign w:val="baseline"/>
    </w:rPr>
  </w:style>
  <w:style w:type="character" w:customStyle="1" w:styleId="ItalicSub">
    <w:name w:val="Italic + Sub"/>
    <w:uiPriority w:val="99"/>
    <w:rsid w:val="00242FBC"/>
    <w:rPr>
      <w:i/>
      <w:iCs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1</cp:revision>
  <dcterms:created xsi:type="dcterms:W3CDTF">2020-02-06T15:08:00Z</dcterms:created>
  <dcterms:modified xsi:type="dcterms:W3CDTF">2020-02-06T15:09:00Z</dcterms:modified>
</cp:coreProperties>
</file>